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REGULAMIN REKRUTACJI PODMIOTÓW EKONOMII SPOŁECZNEJ (PES)</w:t>
      </w:r>
      <w:r w:rsidDel="00000000" w:rsidR="00000000" w:rsidRPr="00000000">
        <w:rPr>
          <w:rtl w:val="0"/>
        </w:rPr>
        <w:br w:type="textWrapping"/>
        <w:t xml:space="preserve">do udziału w projekcie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„Kropka 2.0 – sieć franczyzy społecznej”</w:t>
      </w:r>
      <w:r w:rsidDel="00000000" w:rsidR="00000000" w:rsidRPr="00000000">
        <w:rPr>
          <w:rtl w:val="0"/>
        </w:rPr>
        <w:br w:type="textWrapping"/>
        <w:t xml:space="preserve">nr projektu: FERS.04.13-IP.06-0016/25</w:t>
        <w:br w:type="textWrapping"/>
        <w:t xml:space="preserve">Program Fundusze Europejskie dla Rozwoju Społecznego 2021–2027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§1. Postanowienia ogólne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Niniejszy Regulamin określa zasady rekrutacji, oceny oraz wyboru Podmiotów Ekonomii Społecznej (PES) do udziału w projekcie „Kropka 2.0 – sieć franczyzy społecznej”.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Projekt realizowany jest przez FUNDACJĘ PRO OMNIS w okresie od 01.04.2026 r. do 31.03.2029 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Celem projektu jest zwiększenie trwałości i konkurencyjności PES poprzez utworzenie i rozwój ponadregionalnej sieci franczyzy społecznej.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Rekrutacja prowadzona jest zgodnie z zasadami: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przejrzystości,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równości szans i niedyskryminacji,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równości kobiet i mężczyzn,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dostępności dla osób ze szczególnymi potrzebami.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§2. Definicje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Beneficjent – FUNDACJA PRO OMNIS.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Projekt – projekt „Kropka 2.0 – sieć franczyzy społecznej”.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PES – podmiot ekonomii społecznej zgodnie z ustawą z dnia 5 sierpnia 2022 r. o ekonomii społecznej.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PS – przedsiębiorstwo społeczne posiadające status zgodnie z ustawą.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Kandydat – PES ubiegający się o udział w projekcie.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Uczestnik projektu – PES zakwalifikowany do projektu.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Sieć – ponadregionalna sieć franczyzy społecznej tworzona w projekcie.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Audyt – pogłębiona ocena gotowości PES do wdrożenia modelu franczyzy.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§3. Grupa docelowa i warunki udziału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Uczestnikami projektu mogą być - </w:t>
      </w:r>
      <w:r w:rsidDel="00000000" w:rsidR="00000000" w:rsidRPr="00000000">
        <w:rPr>
          <w:rtl w:val="0"/>
        </w:rPr>
        <w:t xml:space="preserve">zgodnie z definicją zawartą w Regulaminie wyboru projektów FERS -</w:t>
      </w:r>
      <w:r w:rsidDel="00000000" w:rsidR="00000000" w:rsidRPr="00000000">
        <w:rPr>
          <w:rtl w:val="0"/>
        </w:rPr>
        <w:t xml:space="preserve"> PES, które:</w:t>
      </w:r>
    </w:p>
    <w:p w:rsidR="00000000" w:rsidDel="00000000" w:rsidP="00000000" w:rsidRDefault="00000000" w:rsidRPr="00000000" w14:paraId="00000016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prowadzą działalność w branży spożywczej, gastronomicznej lub cateringowej,</w:t>
      </w:r>
    </w:p>
    <w:p w:rsidR="00000000" w:rsidDel="00000000" w:rsidP="00000000" w:rsidRDefault="00000000" w:rsidRPr="00000000" w14:paraId="00000017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posiadają potencjał produkcyjny lub usługowy,</w:t>
      </w:r>
    </w:p>
    <w:p w:rsidR="00000000" w:rsidDel="00000000" w:rsidP="00000000" w:rsidRDefault="00000000" w:rsidRPr="00000000" w14:paraId="00000018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deklarują gotowość do współpracy w sieci franczyzowej,</w:t>
      </w:r>
    </w:p>
    <w:p w:rsidR="00000000" w:rsidDel="00000000" w:rsidP="00000000" w:rsidRDefault="00000000" w:rsidRPr="00000000" w14:paraId="00000019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deklarują wdrożenie wspólnych standardów jakości i narzędzi cyfrowych,</w:t>
      </w:r>
    </w:p>
    <w:p w:rsidR="00000000" w:rsidDel="00000000" w:rsidP="00000000" w:rsidRDefault="00000000" w:rsidRPr="00000000" w14:paraId="0000001A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wyrażają gotowość udziału w audycie organizacyjno-operacyjnym.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Projekt zakłada udział minimum:</w:t>
      </w:r>
    </w:p>
    <w:p w:rsidR="00000000" w:rsidDel="00000000" w:rsidP="00000000" w:rsidRDefault="00000000" w:rsidRPr="00000000" w14:paraId="0000001C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6 PES,</w:t>
      </w:r>
    </w:p>
    <w:p w:rsidR="00000000" w:rsidDel="00000000" w:rsidP="00000000" w:rsidRDefault="00000000" w:rsidRPr="00000000" w14:paraId="0000001D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 tym minimum 2 przedsiębiorstw społecznych,</w:t>
      </w:r>
    </w:p>
    <w:p w:rsidR="00000000" w:rsidDel="00000000" w:rsidP="00000000" w:rsidRDefault="00000000" w:rsidRPr="00000000" w14:paraId="0000001E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z minimum 2 województw.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Wykluczone są podmioty:</w:t>
      </w:r>
    </w:p>
    <w:p w:rsidR="00000000" w:rsidDel="00000000" w:rsidP="00000000" w:rsidRDefault="00000000" w:rsidRPr="00000000" w14:paraId="00000020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niespełniające kryteriów formalnych,</w:t>
      </w:r>
    </w:p>
    <w:p w:rsidR="00000000" w:rsidDel="00000000" w:rsidP="00000000" w:rsidRDefault="00000000" w:rsidRPr="00000000" w14:paraId="00000021">
      <w:pPr>
        <w:numPr>
          <w:ilvl w:val="1"/>
          <w:numId w:val="1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podające nieprawdziwe dane,</w:t>
      </w:r>
    </w:p>
    <w:p w:rsidR="00000000" w:rsidDel="00000000" w:rsidP="00000000" w:rsidRDefault="00000000" w:rsidRPr="00000000" w14:paraId="00000022">
      <w:pPr>
        <w:numPr>
          <w:ilvl w:val="1"/>
          <w:numId w:val="15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objęte zakazem dostępu do środków publicznych.</w:t>
      </w:r>
    </w:p>
    <w:p w:rsidR="00000000" w:rsidDel="00000000" w:rsidP="00000000" w:rsidRDefault="00000000" w:rsidRPr="00000000" w14:paraId="00000023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§4. Etapy rekrutacji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80" w:before="28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Rekrutacja prowadzona jest w trzech etapach: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Harmonogram Procesu Rekrutacji: „Kropka 2.0 – sieć franczyzy społecznej”</w:t>
      </w:r>
    </w:p>
    <w:tbl>
      <w:tblPr>
        <w:tblStyle w:val="Table1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2250"/>
        <w:gridCol w:w="5145"/>
        <w:tblGridChange w:id="0">
          <w:tblGrid>
            <w:gridCol w:w="1680"/>
            <w:gridCol w:w="2250"/>
            <w:gridCol w:w="5145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19191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80"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19191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 rekrutacji „Kropka 2.0”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19191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80"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Zakres działań i szczegóły merytoryczne (na podstawie Regulaminu)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8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08.05-08.06.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 I – Przygotowanie dokumentacji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8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Przygotowanie formularzy zgłoszeniowych, oświadczeń oraz klauzul informacyjnych RODO przez Fundację Pro Omnis.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8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09–08.07.2026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 I i II: Nabór i ocena formalna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8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Ocena formalna (0–1) oraz ocena merytoryczna (max. 40 pkt) formularzy pod kątem potencjału operacyjnego, gotowości do franczyzy i współpracy sieciowej.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8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07–08.2026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 III: Nabór i ocena merytoryczna:  Audyt gotowości (część 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8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Wyłonienie maksymalnie 10 PES z najwyższą punktacją. Rozpoczęcie audytów: pierwsze spotkania online i wizyty badające potencjał wdrożenia modelu franczyzy.</w:t>
            </w:r>
          </w:p>
          <w:p w:rsidR="00000000" w:rsidDel="00000000" w:rsidP="00000000" w:rsidRDefault="00000000" w:rsidRPr="00000000" w14:paraId="00000032">
            <w:pPr>
              <w:spacing w:after="280" w:before="20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Na podstawie zaplanowanego kalendarza i w uzgodnieniu z kandydatami na uczestników terminach zostaną przeprowadzone  wizyty.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8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 01.09.2026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Wybór Uczestników Projektu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80" w:before="20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t xml:space="preserve">Ogłoszenie listy 6 PES zakwalifikowanych do sieci na podstawie wyników audytu oraz listy rezerwowej. </w:t>
            </w:r>
            <w:r w:rsidDel="00000000" w:rsidR="00000000" w:rsidRPr="00000000">
              <w:rPr>
                <w:rtl w:val="0"/>
              </w:rPr>
              <w:t xml:space="preserve">Informacje o wyborze podmiotów, które zostaną zakwalifikowane do udziału w projekcie zostaną zamieszczone na stronie projektu oraz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rozesłane drogą elektroniczną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[K1]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spacing w:after="28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Uruchomienie procedury odwoławczej (5 dni roboczych).</w:t>
            </w:r>
          </w:p>
        </w:tc>
      </w:tr>
      <w:tr>
        <w:trPr>
          <w:cantSplit w:val="0"/>
          <w:trHeight w:val="1581.874999999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8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09.2026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0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Audyt pogłębiony i rekomendacje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80"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Pełna analiza organizacyjna, operacyjna i rynkowa u wybranych podmiotów. Badanie potencjału produkcyjnego i usługowego w branży spożywczej/cateringowej.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80" w:before="28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Ostatni tydzień 09.2026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80" w:before="28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Spotkanie szkoleniowo-strategiczne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e1eb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80" w:before="28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Inauguracja współpracy. Omówienie standardów jakości, narzędzi cyfrowych oraz założeń sieci franczyzy społecznej „Kropka 2.0”</w:t>
            </w:r>
          </w:p>
        </w:tc>
      </w:tr>
    </w:tbl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8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podstawie wyników audytu wyłonionych zostanie </w:t>
      </w:r>
      <w:r w:rsidDel="00000000" w:rsidR="00000000" w:rsidRPr="00000000">
        <w:rPr>
          <w:b w:val="1"/>
          <w:bCs w:val="1"/>
          <w:rtl w:val="0"/>
        </w:rPr>
        <w:t xml:space="preserve">5 PES</w:t>
      </w:r>
      <w:r w:rsidDel="00000000" w:rsidR="00000000" w:rsidRPr="00000000">
        <w:rPr>
          <w:rtl w:val="0"/>
        </w:rPr>
        <w:t xml:space="preserve">, które zostają zakwalifikowane do udziału w projekcie.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8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Wszystkie aktualne informacje wraz z dokumentacją rekrutacyjną są zamieszczone na stronie</w:t>
      </w:r>
      <w:r w:rsidDel="00000000" w:rsidR="00000000" w:rsidRPr="00000000">
        <w:rPr>
          <w:rtl w:val="0"/>
        </w:rPr>
        <w:t xml:space="preserve"> www.proomnis.org.pl</w:t>
      </w:r>
    </w:p>
    <w:p w:rsidR="00000000" w:rsidDel="00000000" w:rsidP="00000000" w:rsidRDefault="00000000" w:rsidRPr="00000000" w14:paraId="0000003F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§5. Dokumenty rekrutacyjne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Formularz zgłoszeniowy 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Dokumenty rejestrowe,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Dokument potwierdzający status PS (jeśli dotyczy),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Załączniki, Oświadczenia i klauzule informacyjne.</w:t>
      </w:r>
    </w:p>
    <w:p w:rsidR="00000000" w:rsidDel="00000000" w:rsidP="00000000" w:rsidRDefault="00000000" w:rsidRPr="00000000" w14:paraId="00000044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§6. Sposób składania zgłoszeń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Dokumenty składane są:</w:t>
      </w:r>
    </w:p>
    <w:p w:rsidR="00000000" w:rsidDel="00000000" w:rsidP="00000000" w:rsidRDefault="00000000" w:rsidRPr="00000000" w14:paraId="00000046">
      <w:pPr>
        <w:numPr>
          <w:ilvl w:val="1"/>
          <w:numId w:val="17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osobiście,</w:t>
      </w:r>
    </w:p>
    <w:p w:rsidR="00000000" w:rsidDel="00000000" w:rsidP="00000000" w:rsidRDefault="00000000" w:rsidRPr="00000000" w14:paraId="00000047">
      <w:pPr>
        <w:numPr>
          <w:ilvl w:val="1"/>
          <w:numId w:val="17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drogą elektroniczną,</w:t>
      </w:r>
    </w:p>
    <w:p w:rsidR="00000000" w:rsidDel="00000000" w:rsidP="00000000" w:rsidRDefault="00000000" w:rsidRPr="00000000" w14:paraId="00000048">
      <w:pPr>
        <w:numPr>
          <w:ilvl w:val="1"/>
          <w:numId w:val="17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pocztą.</w:t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Możliwe jest jednokrotne uzupełnienie braków w terminie 3 dni roboczych od wezwania do uzupełnienia.</w:t>
      </w:r>
    </w:p>
    <w:p w:rsidR="00000000" w:rsidDel="00000000" w:rsidP="00000000" w:rsidRDefault="00000000" w:rsidRPr="00000000" w14:paraId="0000004A">
      <w:pPr>
        <w:numPr>
          <w:ilvl w:val="0"/>
          <w:numId w:val="17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Brak uzupełnienia skutkuje odrzuceniem wniosku.</w:t>
      </w:r>
    </w:p>
    <w:p w:rsidR="00000000" w:rsidDel="00000000" w:rsidP="00000000" w:rsidRDefault="00000000" w:rsidRPr="00000000" w14:paraId="0000004B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§7. Kryteria formalne</w:t>
      </w:r>
    </w:p>
    <w:p w:rsidR="00000000" w:rsidDel="00000000" w:rsidP="00000000" w:rsidRDefault="00000000" w:rsidRPr="00000000" w14:paraId="0000004C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Ocena formalna ma charakter 0–1 (spełnia / nie spełnia) i obejmuje:</w:t>
      </w:r>
    </w:p>
    <w:p w:rsidR="00000000" w:rsidDel="00000000" w:rsidP="00000000" w:rsidRDefault="00000000" w:rsidRPr="00000000" w14:paraId="0000004D">
      <w:pPr>
        <w:numPr>
          <w:ilvl w:val="0"/>
          <w:numId w:val="18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kompletność dokumentów,</w:t>
      </w:r>
    </w:p>
    <w:p w:rsidR="00000000" w:rsidDel="00000000" w:rsidP="00000000" w:rsidRDefault="00000000" w:rsidRPr="00000000" w14:paraId="0000004E">
      <w:pPr>
        <w:numPr>
          <w:ilvl w:val="0"/>
          <w:numId w:val="1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podpisy,</w:t>
      </w:r>
    </w:p>
    <w:p w:rsidR="00000000" w:rsidDel="00000000" w:rsidP="00000000" w:rsidRDefault="00000000" w:rsidRPr="00000000" w14:paraId="0000004F">
      <w:pPr>
        <w:numPr>
          <w:ilvl w:val="0"/>
          <w:numId w:val="1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status PES,</w:t>
      </w:r>
    </w:p>
    <w:p w:rsidR="00000000" w:rsidDel="00000000" w:rsidP="00000000" w:rsidRDefault="00000000" w:rsidRPr="00000000" w14:paraId="00000050">
      <w:pPr>
        <w:numPr>
          <w:ilvl w:val="0"/>
          <w:numId w:val="18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zgodność działalności z projektem.</w:t>
      </w:r>
    </w:p>
    <w:p w:rsidR="00000000" w:rsidDel="00000000" w:rsidP="00000000" w:rsidRDefault="00000000" w:rsidRPr="00000000" w14:paraId="00000051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§8. Kryteria merytoryczne</w:t>
      </w:r>
    </w:p>
    <w:p w:rsidR="00000000" w:rsidDel="00000000" w:rsidP="00000000" w:rsidRDefault="00000000" w:rsidRPr="00000000" w14:paraId="00000052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Maksymalna liczba punktów: 40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Potencjał operacyjny i produkcyjny – 0–10 pkt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Gotowość do wdrożenia modelu franczyzy – 0–10 pkt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Potencjał współpracy sieciowej – 0–10 pkt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Potencjał rozwojowy i rynkowy – 0–5 pkt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Status przedsiębiorstwa społecznego – 0–5 pkt</w:t>
      </w:r>
    </w:p>
    <w:p w:rsidR="00000000" w:rsidDel="00000000" w:rsidP="00000000" w:rsidRDefault="00000000" w:rsidRPr="00000000" w14:paraId="00000058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§9. Audyt gotowości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Audyt obejmuje: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analizę organizacyjną,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ocenę zasobów kadrowych,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analizę zdolności operacyjnych,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ocenę potencjału wdrożenia modelu franczyzy.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Audyt przeprowadzany jest przez ekspertów projektu.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Wyniki audytu stanowią podstawę kwalifikacji do projektu.</w:t>
      </w:r>
    </w:p>
    <w:p w:rsidR="00000000" w:rsidDel="00000000" w:rsidP="00000000" w:rsidRDefault="00000000" w:rsidRPr="00000000" w14:paraId="00000060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§10. Komisja Rekrutacyjna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Oceny dokonuje Komisja Rekrutacyjna (min. 2 osoby).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Każdy wniosek oceniany jest przez minimum 2 oceniających.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Sporządzana jest karta oceny.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Członkowie podpisują oświadczenie o braku konfliktu interesów.</w:t>
      </w:r>
    </w:p>
    <w:p w:rsidR="00000000" w:rsidDel="00000000" w:rsidP="00000000" w:rsidRDefault="00000000" w:rsidRPr="00000000" w14:paraId="00000065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§11. Wyniki rekrutacji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Tworzone są: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lista PES zakwalifikowanych do audytu (max. 10),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lista PES zakwalifikowanych do projektu (5 oraz Lider ),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lista rezerwowa.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 wstępnej kwalifikacji 10 podmiotów na podstawie Formularza on-line, konieczne będzie uzupełnienie dokumentacji rekrutacyjnej, w tym: 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załącznik nr 1 Deklaracja udziału w projekcie, 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załącznik nr 2 Zgoda dane osobowe, 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załącznik nr 3 Zgoda wykorzystanie wizerunku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podpisanie złożonego wcześniej Formularza w wersji papierowej</w:t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przez upoważnioną osobę.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Ostateczna kwalifikacja następuje na podstawie audytu.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Warunkiem udziału podmiotu w projekcie jest dostarczenie kompletu dokumentów rekrutacyjnych. 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Wyniki przekazywane są Kandydatom.</w:t>
      </w:r>
    </w:p>
    <w:p w:rsidR="00000000" w:rsidDel="00000000" w:rsidP="00000000" w:rsidRDefault="00000000" w:rsidRPr="00000000" w14:paraId="00000073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§12. Procedura odwoławcza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Kandydat ma prawo do odwołania w terminie 5 dni roboczych.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Odwołanie rozpatrywane jest w terminie 10 dni.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Decyzja jest ostateczna.</w:t>
      </w:r>
    </w:p>
    <w:p w:rsidR="00000000" w:rsidDel="00000000" w:rsidP="00000000" w:rsidRDefault="00000000" w:rsidRPr="00000000" w14:paraId="00000077">
      <w:pPr>
        <w:spacing w:after="28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§13. Prawa i obowiązki uczestników</w:t>
      </w:r>
    </w:p>
    <w:p w:rsidR="00000000" w:rsidDel="00000000" w:rsidP="00000000" w:rsidRDefault="00000000" w:rsidRPr="00000000" w14:paraId="00000079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Uczestnik ma prawo do: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udziału w projekcie,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równego traktowania,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zgłaszania potrzeb dostępności.</w:t>
      </w:r>
    </w:p>
    <w:p w:rsidR="00000000" w:rsidDel="00000000" w:rsidP="00000000" w:rsidRDefault="00000000" w:rsidRPr="00000000" w14:paraId="0000007D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Uczestnik zobowiązuje się do: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udziału w audycie, szkoleniach i doradztwie,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współpracy w ramach sieci,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przekazywania danych monitoringowych.</w:t>
      </w:r>
    </w:p>
    <w:p w:rsidR="00000000" w:rsidDel="00000000" w:rsidP="00000000" w:rsidRDefault="00000000" w:rsidRPr="00000000" w14:paraId="00000081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§14. Zasady równości i dostępności</w:t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Rekrutacja prowadzona jest zgodnie z zasadą równości szans.</w:t>
      </w:r>
    </w:p>
    <w:p w:rsidR="00000000" w:rsidDel="00000000" w:rsidP="00000000" w:rsidRDefault="00000000" w:rsidRPr="00000000" w14:paraId="00000083">
      <w:pPr>
        <w:numPr>
          <w:ilvl w:val="0"/>
          <w:numId w:val="10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Beneficjent zapewnia dostępność procesu.</w:t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Możliwe jest stosowanie racjonalnych usprawnień.</w:t>
      </w:r>
    </w:p>
    <w:p w:rsidR="00000000" w:rsidDel="00000000" w:rsidP="00000000" w:rsidRDefault="00000000" w:rsidRPr="00000000" w14:paraId="00000085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§15. Rezygnacja i skreślenie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 przypadku rezygnacji możliwe jest włączenie PES z listy rezerwowej.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Uczestnik może zostać skreślony w przypadku:</w:t>
      </w:r>
    </w:p>
    <w:p w:rsidR="00000000" w:rsidDel="00000000" w:rsidP="00000000" w:rsidRDefault="00000000" w:rsidRPr="00000000" w14:paraId="00000088">
      <w:pPr>
        <w:numPr>
          <w:ilvl w:val="1"/>
          <w:numId w:val="1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podania nieprawdziwych danych,</w:t>
      </w:r>
    </w:p>
    <w:p w:rsidR="00000000" w:rsidDel="00000000" w:rsidP="00000000" w:rsidRDefault="00000000" w:rsidRPr="00000000" w14:paraId="00000089">
      <w:pPr>
        <w:numPr>
          <w:ilvl w:val="1"/>
          <w:numId w:val="1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braku współpracy,</w:t>
      </w:r>
    </w:p>
    <w:p w:rsidR="00000000" w:rsidDel="00000000" w:rsidP="00000000" w:rsidRDefault="00000000" w:rsidRPr="00000000" w14:paraId="0000008A">
      <w:pPr>
        <w:numPr>
          <w:ilvl w:val="1"/>
          <w:numId w:val="11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naruszenia regulaminu.</w:t>
      </w:r>
    </w:p>
    <w:p w:rsidR="00000000" w:rsidDel="00000000" w:rsidP="00000000" w:rsidRDefault="00000000" w:rsidRPr="00000000" w14:paraId="0000008B">
      <w:pPr>
        <w:spacing w:after="280" w:before="2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§16. Postanowienia końcowe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Regulamin wchodzi w życie z dniem zatwierdzenia.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Beneficjent zastrzega możliwość zmian.</w:t>
      </w:r>
    </w:p>
    <w:p w:rsidR="00000000" w:rsidDel="00000000" w:rsidP="00000000" w:rsidRDefault="00000000" w:rsidRPr="00000000" w14:paraId="0000008E">
      <w:pPr>
        <w:numPr>
          <w:ilvl w:val="0"/>
          <w:numId w:val="1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 sprawach nieuregulowanych stosuje się przepisy prawa UE i krajowego.</w:t>
      </w:r>
    </w:p>
    <w:p w:rsidR="00000000" w:rsidDel="00000000" w:rsidP="00000000" w:rsidRDefault="00000000" w:rsidRPr="00000000" w14:paraId="0000008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80" w:before="28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Załączniki: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Lines w:val="1"/>
        <w:numPr>
          <w:ilvl w:val="0"/>
          <w:numId w:val="14"/>
        </w:numPr>
        <w:spacing w:after="0" w:before="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Formularz zgłoszeniowy</w:t>
      </w:r>
    </w:p>
    <w:p w:rsidR="00000000" w:rsidDel="00000000" w:rsidP="00000000" w:rsidRDefault="00000000" w:rsidRPr="00000000" w14:paraId="00000092">
      <w:pPr>
        <w:keepLines w:val="1"/>
        <w:numPr>
          <w:ilvl w:val="0"/>
          <w:numId w:val="14"/>
        </w:numPr>
        <w:spacing w:after="0" w:before="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Klauzula RODO</w:t>
      </w:r>
    </w:p>
    <w:p w:rsidR="00000000" w:rsidDel="00000000" w:rsidP="00000000" w:rsidRDefault="00000000" w:rsidRPr="00000000" w14:paraId="00000093">
      <w:pPr>
        <w:keepLines w:val="1"/>
        <w:numPr>
          <w:ilvl w:val="0"/>
          <w:numId w:val="14"/>
        </w:numPr>
        <w:spacing w:after="0" w:before="20" w:line="24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Załącznik nr 1 </w:t>
      </w:r>
      <w:r w:rsidDel="00000000" w:rsidR="00000000" w:rsidRPr="00000000">
        <w:rPr>
          <w:rtl w:val="0"/>
        </w:rPr>
        <w:t xml:space="preserve">Deklaracja udziału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Lines w:val="1"/>
        <w:numPr>
          <w:ilvl w:val="0"/>
          <w:numId w:val="14"/>
        </w:numPr>
        <w:spacing w:after="0" w:before="20" w:line="24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Załącznik nr 2  </w:t>
      </w:r>
      <w:r w:rsidDel="00000000" w:rsidR="00000000" w:rsidRPr="00000000">
        <w:rPr>
          <w:rtl w:val="0"/>
        </w:rPr>
        <w:t xml:space="preserve">Zgoda na przetwarzanie danych osobowych (uczestnik projektu)</w:t>
      </w:r>
    </w:p>
    <w:p w:rsidR="00000000" w:rsidDel="00000000" w:rsidP="00000000" w:rsidRDefault="00000000" w:rsidRPr="00000000" w14:paraId="00000095">
      <w:pPr>
        <w:keepLines w:val="1"/>
        <w:numPr>
          <w:ilvl w:val="0"/>
          <w:numId w:val="14"/>
        </w:numPr>
        <w:spacing w:after="0" w:before="20" w:line="240" w:lineRule="auto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Załącznik nr 3 </w:t>
      </w:r>
      <w:r w:rsidDel="00000000" w:rsidR="00000000" w:rsidRPr="00000000">
        <w:rPr>
          <w:rtl w:val="0"/>
        </w:rPr>
        <w:t xml:space="preserve">Zgoda na wykorzystanie wizerunku</w:t>
      </w:r>
    </w:p>
    <w:p w:rsidR="00000000" w:rsidDel="00000000" w:rsidP="00000000" w:rsidRDefault="00000000" w:rsidRPr="00000000" w14:paraId="00000096">
      <w:pPr>
        <w:keepLines w:val="1"/>
        <w:spacing w:after="0" w:before="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Ink Fre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Ink Free" w:cs="Ink Free" w:eastAsia="Ink Free" w:hAnsi="Ink Free"/>
        <w:b w:val="1"/>
        <w:bCs w:val="1"/>
        <w:sz w:val="28"/>
        <w:szCs w:val="28"/>
      </w:rPr>
    </w:pPr>
    <w:r w:rsidDel="00000000" w:rsidR="00000000" w:rsidRPr="00000000">
      <w:rPr>
        <w:rFonts w:ascii="Ink Free" w:cs="Ink Free" w:eastAsia="Ink Free" w:hAnsi="Ink Free"/>
        <w:b w:val="1"/>
        <w:bCs w:val="1"/>
        <w:sz w:val="28"/>
        <w:szCs w:val="28"/>
        <w:rtl w:val="0"/>
      </w:rPr>
      <w:t xml:space="preserve">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-131461</wp:posOffset>
          </wp:positionV>
          <wp:extent cx="805823" cy="80582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5823" cy="8058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18863</wp:posOffset>
          </wp:positionV>
          <wp:extent cx="1397225" cy="515056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225" cy="5150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nk Free" w:cs="Ink Free" w:eastAsia="Ink Free" w:hAnsi="Ink Fre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Kropka 2.0 sieć franczyzy społecznej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7874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cmwzplfbQjEGrMzbcRziLaPBQ==">CgMxLjA4AHIhMUpBRU9jb3BDakRlR3RuTVh1TldaYnFkcUFXRkt4VHg3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